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E8" w:rsidRPr="005A494F" w:rsidRDefault="00A229E8" w:rsidP="00A229E8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Georgia" w:eastAsia="Calibri" w:hAnsi="Georgia" w:cs="Times New Roman"/>
          <w:b/>
          <w:color w:val="auto"/>
          <w:kern w:val="0"/>
          <w:sz w:val="28"/>
          <w:szCs w:val="28"/>
          <w:u w:val="single"/>
          <w:lang w:eastAsia="en-US"/>
        </w:rPr>
      </w:pPr>
      <w:r w:rsidRPr="005A494F">
        <w:rPr>
          <w:rFonts w:ascii="Georgia" w:eastAsia="Calibri" w:hAnsi="Georgia" w:cs="Times New Roman"/>
          <w:b/>
          <w:color w:val="auto"/>
          <w:kern w:val="0"/>
          <w:sz w:val="28"/>
          <w:szCs w:val="28"/>
          <w:u w:val="single"/>
          <w:lang w:eastAsia="en-US"/>
        </w:rPr>
        <w:t xml:space="preserve">St. </w:t>
      </w:r>
      <w:proofErr w:type="spellStart"/>
      <w:r w:rsidRPr="005A494F">
        <w:rPr>
          <w:rFonts w:ascii="Georgia" w:eastAsia="Calibri" w:hAnsi="Georgia" w:cs="Times New Roman"/>
          <w:b/>
          <w:color w:val="auto"/>
          <w:kern w:val="0"/>
          <w:sz w:val="28"/>
          <w:szCs w:val="28"/>
          <w:u w:val="single"/>
          <w:lang w:eastAsia="en-US"/>
        </w:rPr>
        <w:t>Micheal’s</w:t>
      </w:r>
      <w:proofErr w:type="spellEnd"/>
      <w:r w:rsidRPr="005A494F">
        <w:rPr>
          <w:rFonts w:ascii="Georgia" w:eastAsia="Calibri" w:hAnsi="Georgia" w:cs="Times New Roman"/>
          <w:b/>
          <w:color w:val="auto"/>
          <w:kern w:val="0"/>
          <w:sz w:val="28"/>
          <w:szCs w:val="28"/>
          <w:u w:val="single"/>
          <w:lang w:eastAsia="en-US"/>
        </w:rPr>
        <w:t xml:space="preserve"> and All Angels, All </w:t>
      </w:r>
      <w:proofErr w:type="spellStart"/>
      <w:r w:rsidRPr="005A494F">
        <w:rPr>
          <w:rFonts w:ascii="Georgia" w:eastAsia="Calibri" w:hAnsi="Georgia" w:cs="Times New Roman"/>
          <w:b/>
          <w:color w:val="auto"/>
          <w:kern w:val="0"/>
          <w:sz w:val="28"/>
          <w:szCs w:val="28"/>
          <w:u w:val="single"/>
          <w:lang w:eastAsia="en-US"/>
        </w:rPr>
        <w:t>Stretton</w:t>
      </w:r>
      <w:proofErr w:type="spellEnd"/>
      <w:r w:rsidR="005C0514" w:rsidRPr="005A494F">
        <w:rPr>
          <w:rFonts w:ascii="Georgia" w:eastAsia="Calibri" w:hAnsi="Georgia" w:cs="Times New Roman"/>
          <w:b/>
          <w:color w:val="auto"/>
          <w:kern w:val="0"/>
          <w:sz w:val="28"/>
          <w:szCs w:val="28"/>
          <w:u w:val="single"/>
          <w:lang w:eastAsia="en-US"/>
        </w:rPr>
        <w:t xml:space="preserve"> SO462958</w:t>
      </w:r>
    </w:p>
    <w:p w:rsidR="00A229E8" w:rsidRPr="005A494F" w:rsidRDefault="00A229E8" w:rsidP="00A229E8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</w:pPr>
      <w:r w:rsidRPr="005A494F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 xml:space="preserve">A Wildlife Survey by </w:t>
      </w:r>
      <w:proofErr w:type="spellStart"/>
      <w:r w:rsidRPr="005A494F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>Strettons</w:t>
      </w:r>
      <w:proofErr w:type="spellEnd"/>
      <w:r w:rsidRPr="005A494F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 xml:space="preserve"> Area Community Wildlife Group (SACWG)</w:t>
      </w:r>
    </w:p>
    <w:p w:rsidR="00AF4807" w:rsidRPr="005A494F" w:rsidRDefault="00AF4807" w:rsidP="00A229E8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5A494F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Report by Caroline Uff</w:t>
      </w:r>
    </w:p>
    <w:p w:rsidR="00A229E8" w:rsidRPr="00AF4807" w:rsidRDefault="00A74329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</w:pPr>
      <w:r>
        <w:rPr>
          <w:rFonts w:ascii="Georgia" w:eastAsia="Calibri" w:hAnsi="Georgia" w:cs="Times New Roman"/>
          <w:b/>
          <w:noProof/>
          <w:color w:val="auto"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65pt;margin-top:222pt;width:66.6pt;height:21.95pt;z-index:6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 strokecolor="white">
            <v:fill opacity=".5"/>
            <v:textbox>
              <w:txbxContent>
                <w:p w:rsidR="00AF4807" w:rsidRDefault="00AF4807" w:rsidP="00AF4807">
                  <w:r>
                    <w:rPr>
                      <w:color w:val="auto"/>
                    </w:rPr>
                    <w:t xml:space="preserve">Image: </w:t>
                  </w:r>
                  <w:proofErr w:type="spellStart"/>
                  <w:r>
                    <w:rPr>
                      <w:color w:val="auto"/>
                    </w:rPr>
                    <w:t>C.Uff</w:t>
                  </w:r>
                  <w:proofErr w:type="spellEnd"/>
                </w:p>
              </w:txbxContent>
            </v:textbox>
          </v:shape>
        </w:pict>
      </w:r>
      <w:r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2.25pt">
            <v:imagedata r:id="rId6" o:title="002"/>
          </v:shape>
        </w:pic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b/>
          <w:color w:val="auto"/>
          <w:kern w:val="0"/>
          <w:sz w:val="22"/>
          <w:szCs w:val="22"/>
          <w:u w:val="single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u w:val="single"/>
          <w:lang w:eastAsia="en-US"/>
        </w:rPr>
        <w:t>Introduction</w:t>
      </w:r>
    </w:p>
    <w:p w:rsidR="000E0966" w:rsidRPr="00AF4807" w:rsidRDefault="000E0966" w:rsidP="000E0966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St </w:t>
      </w:r>
      <w:r w:rsidR="00706A49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Michael’s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and All Angels </w:t>
      </w:r>
      <w:proofErr w:type="gramStart"/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is</w:t>
      </w:r>
      <w:proofErr w:type="gramEnd"/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situated on the edge of All </w:t>
      </w:r>
      <w:proofErr w:type="spellStart"/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Stretton</w:t>
      </w:r>
      <w:proofErr w:type="spellEnd"/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. It is bounded on the south side by the Shrewsbury </w:t>
      </w:r>
      <w:r w:rsidR="00706A49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Road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and to the north by the Long </w:t>
      </w:r>
      <w:proofErr w:type="spellStart"/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Mynd</w:t>
      </w:r>
      <w:proofErr w:type="spellEnd"/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SSSI.  It is quite shady and mostly on steep 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ground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with exposed rock behind the church</w:t>
      </w:r>
      <w:r w:rsidR="00A229E8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. 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="00767190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A previous survey of the churchyard was carried out in </w:t>
      </w:r>
      <w:r w:rsidR="005C0514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1998</w:t>
      </w:r>
      <w:r w:rsidR="00767190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by </w:t>
      </w:r>
      <w:proofErr w:type="spellStart"/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J.Thompso</w:t>
      </w:r>
      <w:r w:rsidR="005C0514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n</w:t>
      </w:r>
      <w:proofErr w:type="spellEnd"/>
      <w:r w:rsid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b/>
          <w:color w:val="auto"/>
          <w:kern w:val="0"/>
          <w:sz w:val="22"/>
          <w:szCs w:val="22"/>
          <w:u w:val="single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u w:val="single"/>
          <w:lang w:eastAsia="en-US"/>
        </w:rPr>
        <w:t>Survey details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On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17/5/2014</w:t>
      </w:r>
      <w:r w:rsidR="000E0966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members of SACWG asse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ssed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the site.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>Ground Flora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: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Species were recorded from a general walkover. Ferns were also identified.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>Trees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: The existing map from 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1998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was 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checked and 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updated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if necessary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>Mammals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: 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A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baited hedgehog tunnel was left for two nights to collect mammal footprints. Tracks and signs of other mammals were also recorded. Bats were not assessed.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>Birds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: Any birds seen or heard within churchyard were recorded.  Those seen in flight were only recorded if it seemed likely they were using the site. Signs of nesting were noted.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t>Invertebrates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: Any species encountered within the churchyard were identified as far as possible.</w:t>
      </w:r>
      <w:r w:rsidR="001C78A9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Seep nets and beating trays were used.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  <w:lastRenderedPageBreak/>
        <w:t>Reptile mats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: Two mats (felt roofing tiles) were left </w:t>
      </w:r>
      <w:r w:rsidRPr="00AF4807">
        <w:rPr>
          <w:rFonts w:ascii="Georgia" w:eastAsia="Calibri" w:hAnsi="Georgia" w:cs="Times New Roman"/>
          <w:i/>
          <w:color w:val="auto"/>
          <w:kern w:val="0"/>
          <w:sz w:val="22"/>
          <w:szCs w:val="22"/>
          <w:lang w:eastAsia="en-US"/>
        </w:rPr>
        <w:t>in situ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for </w:t>
      </w:r>
      <w:r w:rsidR="00734121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approx.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1 month around the period of the visit to act as refuges for reptiles.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color w:val="auto"/>
          <w:kern w:val="0"/>
          <w:sz w:val="22"/>
          <w:szCs w:val="22"/>
          <w:u w:val="single"/>
          <w:lang w:eastAsia="en-US"/>
        </w:rPr>
      </w:pPr>
      <w:r w:rsidRPr="00AF4807">
        <w:rPr>
          <w:rFonts w:ascii="Georgia" w:eastAsia="Calibri" w:hAnsi="Georgia" w:cs="Times New Roman"/>
          <w:b/>
          <w:color w:val="auto"/>
          <w:kern w:val="0"/>
          <w:sz w:val="22"/>
          <w:szCs w:val="22"/>
          <w:u w:val="single"/>
          <w:lang w:eastAsia="en-US"/>
        </w:rPr>
        <w:t>Results and comments</w:t>
      </w:r>
    </w:p>
    <w:p w:rsidR="00A229E8" w:rsidRPr="00AF4807" w:rsidRDefault="00A229E8" w:rsidP="00A229E8">
      <w:pPr>
        <w:widowControl/>
        <w:overflowPunct/>
        <w:autoSpaceDE/>
        <w:autoSpaceDN/>
        <w:adjustRightInd/>
        <w:spacing w:after="200" w:line="276" w:lineRule="auto"/>
        <w:rPr>
          <w:rFonts w:ascii="Georgia" w:eastAsia="Calibri" w:hAnsi="Georgia" w:cs="Times New Roman"/>
          <w:b/>
          <w:color w:val="auto"/>
          <w:kern w:val="0"/>
          <w:sz w:val="22"/>
          <w:szCs w:val="22"/>
          <w:lang w:eastAsia="en-US"/>
        </w:rPr>
      </w:pP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In all </w:t>
      </w:r>
      <w:r w:rsidR="00A74329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90</w:t>
      </w:r>
      <w:bookmarkStart w:id="0" w:name="_GoBack"/>
      <w:bookmarkEnd w:id="0"/>
      <w:r w:rsidR="00057ACC"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species were recorded and summarised below – the full list is given </w:t>
      </w:r>
      <w:r w:rsid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at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 the </w:t>
      </w:r>
      <w:r w:rsid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>end</w:t>
      </w:r>
      <w:r w:rsidRPr="00AF4807">
        <w:rPr>
          <w:rFonts w:ascii="Georgia" w:eastAsia="Calibri" w:hAnsi="Georgia" w:cs="Times New Roman"/>
          <w:color w:val="auto"/>
          <w:kern w:val="0"/>
          <w:sz w:val="22"/>
          <w:szCs w:val="22"/>
          <w:lang w:eastAsia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6440"/>
      </w:tblGrid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# Species recorded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Comments</w:t>
            </w:r>
          </w:p>
        </w:tc>
      </w:tr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Ground Flora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734121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5D4A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660600" w:rsidRDefault="00057ACC" w:rsidP="00244124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Little change since 1998</w:t>
            </w:r>
            <w:r w:rsidR="00244124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.</w:t>
            </w:r>
            <w:r w:rsidR="00244124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The grassland here is</w:t>
            </w:r>
            <w:r w:rsidR="00244124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of no special importance, but the flora includes some nice spring woodland species such as bluebell and primrose as well as cuckoo flower, food</w:t>
            </w:r>
            <w:r w:rsidR="00F465E2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244124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plant of the orange tip butterfly. The bare rock has good amounts of the aptly</w:t>
            </w:r>
            <w:r w:rsidR="00981885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named</w:t>
            </w:r>
            <w:r w:rsidR="00244124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navelwort.</w:t>
            </w:r>
          </w:p>
        </w:tc>
      </w:tr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Trees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057ACC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5D4A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660600" w:rsidRDefault="003544A6" w:rsidP="00B80E0B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Trees recorded in 1998 were still present.  </w:t>
            </w:r>
            <w:r w:rsidR="00DB3B39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Old laburnum rich hedges are</w:t>
            </w:r>
            <w:r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a feature of local interest</w:t>
            </w:r>
            <w:r w:rsidR="00DB3B39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. Despite its poisonous nature many hedges were planted with l</w:t>
            </w:r>
            <w:r w:rsidR="00B80E0B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aburnum about 150 years ago in s</w:t>
            </w:r>
            <w:r w:rsidR="00DB3B39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outh</w:t>
            </w:r>
            <w:r w:rsidR="00B80E0B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-</w:t>
            </w:r>
            <w:r w:rsidR="00DB3B39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B80E0B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w</w:t>
            </w:r>
            <w:r w:rsidR="00DB3B39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est Shropshire and parts of Wales, but the reason is </w:t>
            </w:r>
            <w:r w:rsidR="0041487A" w:rsidRP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open to debate.</w:t>
            </w:r>
          </w:p>
        </w:tc>
      </w:tr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Birds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057ACC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5D4A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Invertebrates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057ACC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5D4A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41487A" w:rsidP="00C8681D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Of particular note was the striking soldier </w:t>
            </w:r>
            <w:r w:rsidR="00244124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beetle, </w:t>
            </w:r>
            <w:r w:rsidR="00244124" w:rsidRPr="00C8681D">
              <w:rPr>
                <w:rFonts w:eastAsia="Calibri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 xml:space="preserve">Cantharis </w:t>
            </w:r>
            <w:proofErr w:type="spellStart"/>
            <w:r w:rsidR="00244124" w:rsidRPr="00C8681D">
              <w:rPr>
                <w:rFonts w:eastAsia="Calibri" w:cs="Times New Roman"/>
                <w:i/>
                <w:color w:val="auto"/>
                <w:kern w:val="0"/>
                <w:sz w:val="22"/>
                <w:szCs w:val="22"/>
                <w:lang w:eastAsia="en-US"/>
              </w:rPr>
              <w:t>obscura</w:t>
            </w:r>
            <w:proofErr w:type="spellEnd"/>
            <w:r w:rsid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. It is rare in Britain</w:t>
            </w:r>
            <w:r w:rsidR="00C8681D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, designated ‘</w:t>
            </w:r>
            <w:r w:rsid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Nationally Scarce</w:t>
            </w:r>
            <w:r w:rsidR="00C8681D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’ </w:t>
            </w:r>
            <w:r w:rsid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and has its stronghold in the Lake District as it favours wooded hillsides.  However several recent records</w:t>
            </w:r>
            <w:r w:rsidR="00C8681D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, including this, </w:t>
            </w:r>
            <w:r w:rsidR="00660600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have confirmed that there is also a population </w:t>
            </w:r>
            <w:r w:rsidR="00C8681D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in the Shropshire Hills.</w:t>
            </w:r>
          </w:p>
        </w:tc>
      </w:tr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Mammals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057ACC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5D4A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28289A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Mouse and cat footprints were picked up together in the mammal tunnel!</w:t>
            </w:r>
          </w:p>
        </w:tc>
      </w:tr>
      <w:tr w:rsidR="007F5D4A" w:rsidRPr="007F5D4A" w:rsidTr="007F5D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A229E8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A229E8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Reptiles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057ACC" w:rsidP="007F5D4A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7F5D4A">
              <w:rPr>
                <w:rFonts w:eastAsia="Calibri" w:cs="Times New Roman"/>
                <w:b/>
                <w:color w:val="auto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E8" w:rsidRPr="00A229E8" w:rsidRDefault="00660600" w:rsidP="0067134B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A slow</w:t>
            </w:r>
            <w:r w:rsidR="00C8681D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worm was found.  These shy </w:t>
            </w:r>
            <w:r w:rsidR="0067134B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 xml:space="preserve">and increasingly uncommon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reptiles are in fact legless lizards rather than snakes</w:t>
            </w:r>
            <w:r w:rsidR="0067134B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. They do however often find a welcome refuge in churchyards.  They are a legally protected species.</w:t>
            </w:r>
          </w:p>
        </w:tc>
      </w:tr>
    </w:tbl>
    <w:p w:rsidR="000902BA" w:rsidRDefault="000902BA" w:rsidP="00680806"/>
    <w:p w:rsidR="00057ACC" w:rsidRDefault="00A74329" w:rsidP="00680806">
      <w:r>
        <w:rPr>
          <w:noProof/>
        </w:rPr>
        <w:pict>
          <v:shape id="_x0000_s1030" type="#_x0000_t75" style="position:absolute;margin-left:322.5pt;margin-top:-.6pt;width:141.35pt;height:207.5pt;z-index:-2;mso-position-horizontal-relative:text;mso-position-vertical-relative:text">
            <v:imagedata r:id="rId7" o:title="Cantharis obscura" croptop="-107f" cropbottom="-160f" cropleft="11876f" cropright="7097f" gain="68267f" blacklevel="1311f"/>
          </v:shape>
        </w:pict>
      </w:r>
      <w:r>
        <w:rPr>
          <w:noProof/>
        </w:rPr>
        <w:pict>
          <v:shape id="_x0000_s1031" type="#_x0000_t75" style="position:absolute;margin-left:-15pt;margin-top:-.6pt;width:141.75pt;height:210.7pt;z-index:-1;mso-position-horizontal-relative:text;mso-position-vertical-relative:text">
            <v:imagedata r:id="rId8" o:title="006"/>
          </v:shape>
        </w:pict>
      </w:r>
      <w:r>
        <w:rPr>
          <w:noProof/>
        </w:rPr>
        <w:pict>
          <v:shape id="_x0000_s1033" type="#_x0000_t75" style="position:absolute;margin-left:133.5pt;margin-top:-.6pt;width:183.75pt;height:133.5pt;z-index:1;mso-position-horizontal-relative:text;mso-position-vertical-relative:text">
            <v:imagedata r:id="rId9" o:title="007"/>
          </v:shape>
        </w:pict>
      </w:r>
    </w:p>
    <w:p w:rsidR="0028289A" w:rsidRDefault="0028289A" w:rsidP="00680806"/>
    <w:p w:rsidR="0028289A" w:rsidRDefault="0028289A" w:rsidP="00680806"/>
    <w:p w:rsidR="00B80E0B" w:rsidRDefault="00B80E0B" w:rsidP="00680806"/>
    <w:p w:rsidR="00B80E0B" w:rsidRDefault="00B80E0B" w:rsidP="00680806"/>
    <w:p w:rsidR="00B80E0B" w:rsidRDefault="00A74329" w:rsidP="00680806">
      <w:r>
        <w:rPr>
          <w:noProof/>
        </w:rPr>
        <w:pict>
          <v:shape id="_x0000_s1038" type="#_x0000_t202" style="position:absolute;margin-left:246.15pt;margin-top:8.45pt;width:71.1pt;height:21.95pt;z-index:3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fill opacity=".5"/>
            <v:textbox>
              <w:txbxContent>
                <w:p w:rsidR="00AF4807" w:rsidRDefault="00AF4807">
                  <w:r>
                    <w:rPr>
                      <w:color w:val="auto"/>
                    </w:rPr>
                    <w:t xml:space="preserve">Image: </w:t>
                  </w:r>
                  <w:proofErr w:type="spellStart"/>
                  <w:r>
                    <w:rPr>
                      <w:color w:val="auto"/>
                    </w:rPr>
                    <w:t>C.Uff</w:t>
                  </w:r>
                  <w:proofErr w:type="spellEnd"/>
                </w:p>
              </w:txbxContent>
            </v:textbox>
          </v:shape>
        </w:pict>
      </w:r>
    </w:p>
    <w:p w:rsidR="0028289A" w:rsidRDefault="00A74329" w:rsidP="00680806">
      <w:r>
        <w:rPr>
          <w:noProof/>
        </w:rPr>
        <w:pict>
          <v:shape id="Text Box 2" o:spid="_x0000_s1034" type="#_x0000_t202" style="position:absolute;margin-left:133.5pt;margin-top:17.35pt;width:183.75pt;height:69.7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8681D" w:rsidRPr="00AF4807" w:rsidRDefault="00C8681D">
                  <w:pPr>
                    <w:rPr>
                      <w:rFonts w:ascii="Georgia" w:hAnsi="Georgia"/>
                      <w:color w:val="auto"/>
                    </w:rPr>
                  </w:pPr>
                  <w:r w:rsidRPr="00AF4807">
                    <w:rPr>
                      <w:rFonts w:ascii="Georgia" w:hAnsi="Georgia"/>
                      <w:color w:val="auto"/>
                    </w:rPr>
                    <w:t>Navelwort growing on the rocks (left)</w:t>
                  </w:r>
                </w:p>
                <w:p w:rsidR="00C8681D" w:rsidRPr="00AF4807" w:rsidRDefault="00C8681D">
                  <w:pPr>
                    <w:rPr>
                      <w:rFonts w:ascii="Georgia" w:hAnsi="Georgia"/>
                    </w:rPr>
                  </w:pPr>
                  <w:r w:rsidRPr="00AF4807">
                    <w:rPr>
                      <w:rFonts w:ascii="Georgia" w:hAnsi="Georgia"/>
                      <w:color w:val="auto"/>
                    </w:rPr>
                    <w:t xml:space="preserve">Slow worm (above) and the soldier beetle </w:t>
                  </w:r>
                  <w:r w:rsidRPr="00AF4807">
                    <w:rPr>
                      <w:rFonts w:ascii="Georgia" w:hAnsi="Georgia"/>
                      <w:i/>
                      <w:color w:val="auto"/>
                    </w:rPr>
                    <w:t xml:space="preserve">Cantharis </w:t>
                  </w:r>
                  <w:proofErr w:type="spellStart"/>
                  <w:r w:rsidRPr="00AF4807">
                    <w:rPr>
                      <w:rFonts w:ascii="Georgia" w:hAnsi="Georgia"/>
                      <w:i/>
                      <w:color w:val="auto"/>
                    </w:rPr>
                    <w:t>obscura</w:t>
                  </w:r>
                  <w:proofErr w:type="spellEnd"/>
                  <w:r w:rsidRPr="00AF4807">
                    <w:rPr>
                      <w:rFonts w:ascii="Georgia" w:hAnsi="Georgia"/>
                      <w:color w:val="auto"/>
                    </w:rPr>
                    <w:t xml:space="preserve"> (right) were worthy of note.</w:t>
                  </w:r>
                </w:p>
              </w:txbxContent>
            </v:textbox>
          </v:shape>
        </w:pict>
      </w:r>
    </w:p>
    <w:p w:rsidR="0028289A" w:rsidRDefault="0028289A" w:rsidP="00680806"/>
    <w:p w:rsidR="0028289A" w:rsidRDefault="0028289A" w:rsidP="00680806"/>
    <w:p w:rsidR="0028289A" w:rsidRDefault="00A74329" w:rsidP="00680806">
      <w:r>
        <w:rPr>
          <w:noProof/>
        </w:rPr>
        <w:pict>
          <v:shape id="_x0000_s1040" type="#_x0000_t202" style="position:absolute;margin-left:57.9pt;margin-top:3.65pt;width:68.85pt;height:21.95pt;z-index:5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fill opacity="32113f"/>
            <v:textbox>
              <w:txbxContent>
                <w:p w:rsidR="00AF4807" w:rsidRDefault="00AF4807" w:rsidP="00AF4807">
                  <w:r>
                    <w:rPr>
                      <w:color w:val="auto"/>
                    </w:rPr>
                    <w:t xml:space="preserve">Image: </w:t>
                  </w:r>
                  <w:proofErr w:type="spellStart"/>
                  <w:r>
                    <w:rPr>
                      <w:color w:val="auto"/>
                    </w:rPr>
                    <w:t>C.Uff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22.5pt;margin-top:.45pt;width:91.35pt;height:21.95pt;z-index: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fill opacity="31457f"/>
            <v:textbox>
              <w:txbxContent>
                <w:p w:rsidR="00AF4807" w:rsidRDefault="00AF4807" w:rsidP="00AF4807">
                  <w:r>
                    <w:rPr>
                      <w:color w:val="auto"/>
                    </w:rPr>
                    <w:t xml:space="preserve">Image: </w:t>
                  </w:r>
                  <w:proofErr w:type="spellStart"/>
                  <w:r>
                    <w:rPr>
                      <w:color w:val="auto"/>
                    </w:rPr>
                    <w:t>G.Wenman</w:t>
                  </w:r>
                  <w:proofErr w:type="spellEnd"/>
                </w:p>
              </w:txbxContent>
            </v:textbox>
          </v:shape>
        </w:pict>
      </w:r>
    </w:p>
    <w:p w:rsidR="00B80E0B" w:rsidRPr="00AF4807" w:rsidRDefault="00B80E0B" w:rsidP="00680806">
      <w:pPr>
        <w:rPr>
          <w:rFonts w:ascii="Georgia" w:hAnsi="Georgia"/>
          <w:sz w:val="22"/>
          <w:szCs w:val="22"/>
        </w:rPr>
      </w:pPr>
      <w:r w:rsidRPr="00AF4807">
        <w:rPr>
          <w:rFonts w:ascii="Georgia" w:hAnsi="Georgia"/>
          <w:sz w:val="22"/>
          <w:szCs w:val="22"/>
        </w:rPr>
        <w:lastRenderedPageBreak/>
        <w:t>The following sketch map by John Thompson in 1998 is still a good representation of the plants in the churchyard</w:t>
      </w:r>
      <w:r w:rsidR="00AF4807">
        <w:rPr>
          <w:rFonts w:ascii="Georgia" w:hAnsi="Georgia"/>
          <w:sz w:val="22"/>
          <w:szCs w:val="22"/>
        </w:rPr>
        <w:t xml:space="preserve"> and t</w:t>
      </w:r>
      <w:r w:rsidRPr="00AF4807">
        <w:rPr>
          <w:rFonts w:ascii="Georgia" w:hAnsi="Georgia"/>
          <w:sz w:val="22"/>
          <w:szCs w:val="22"/>
        </w:rPr>
        <w:t xml:space="preserve">he management suggestions in John’s report remain relevant today. The hedge along the eastern boundary is difficult to manage using traditional methods such as </w:t>
      </w:r>
      <w:proofErr w:type="gramStart"/>
      <w:r w:rsidRPr="00AF4807">
        <w:rPr>
          <w:rFonts w:ascii="Georgia" w:hAnsi="Georgia"/>
          <w:sz w:val="22"/>
          <w:szCs w:val="22"/>
        </w:rPr>
        <w:t>laying</w:t>
      </w:r>
      <w:proofErr w:type="gramEnd"/>
      <w:r w:rsidRPr="00AF4807">
        <w:rPr>
          <w:rFonts w:ascii="Georgia" w:hAnsi="Georgia"/>
          <w:sz w:val="22"/>
          <w:szCs w:val="22"/>
        </w:rPr>
        <w:t>, but it may be possible to coppice and gap up if desired.</w:t>
      </w:r>
    </w:p>
    <w:p w:rsidR="00AF4807" w:rsidRDefault="00A74329" w:rsidP="00680806">
      <w:r>
        <w:pict>
          <v:shape id="_x0000_i1026" type="#_x0000_t75" style="width:454.5pt;height:550.5pt">
            <v:imagedata r:id="rId10" o:title="All Stretton Map" croptop="15911f" cropbottom="13352f" cropleft="15179f" cropright="7897f"/>
          </v:shape>
        </w:pict>
      </w:r>
    </w:p>
    <w:p w:rsidR="00AF4807" w:rsidRPr="00594D89" w:rsidRDefault="00AF4807" w:rsidP="00AF4807">
      <w:pPr>
        <w:rPr>
          <w:rFonts w:ascii="Georgia" w:hAnsi="Georgia"/>
          <w:sz w:val="22"/>
          <w:szCs w:val="22"/>
        </w:rPr>
      </w:pPr>
      <w:r>
        <w:br w:type="page"/>
      </w:r>
      <w:r w:rsidRPr="00594D89">
        <w:rPr>
          <w:rFonts w:ascii="Georgia" w:hAnsi="Georgia"/>
          <w:sz w:val="22"/>
          <w:szCs w:val="22"/>
        </w:rPr>
        <w:lastRenderedPageBreak/>
        <w:t>Plants recorded 2014</w:t>
      </w:r>
      <w:r w:rsidRPr="00594D89">
        <w:rPr>
          <w:rFonts w:ascii="Georgia" w:hAnsi="Georgia" w:cs="Arial"/>
          <w:sz w:val="22"/>
          <w:szCs w:val="22"/>
        </w:rPr>
        <w:t xml:space="preserve"> (English names used where possible)</w:t>
      </w:r>
    </w:p>
    <w:tbl>
      <w:tblPr>
        <w:tblpPr w:leftFromText="180" w:rightFromText="180" w:vertAnchor="text" w:tblpX="93" w:tblpY="1"/>
        <w:tblW w:w="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694"/>
      </w:tblGrid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Group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Plant name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color w:val="auto"/>
                <w:kern w:val="0"/>
                <w:sz w:val="22"/>
                <w:szCs w:val="22"/>
                <w:lang w:eastAsia="en-US"/>
              </w:rPr>
              <w:t>Alkanet, green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Bluebell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Bramble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Buttercup, bulbous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Buttercup, creeping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Celandine</w:t>
            </w:r>
            <w:r w:rsidR="00AF4807"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, greater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Celandine</w:t>
            </w:r>
            <w:r w:rsidR="00AF4807"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, lesser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Cleavers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Chickweed, common 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Crane's-bill, shining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Dandelions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Field speedwell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Field/wood forget-me-not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Foxglove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Garlic mustard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Herb-</w:t>
            </w:r>
            <w:r w:rsidR="00F465E2"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Robert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Himalayan Balsam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Hogweed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Ivy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Lady's smock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Lamb's Lettuce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Lord's-and-ladies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Navelwort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Nipplewort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Primrose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Ragwort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Ramsons</w:t>
            </w:r>
            <w:proofErr w:type="spellEnd"/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Speedwell, slender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Solomon's seal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Sorrel, common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Speedwell, germander 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Stinging nettle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Stitchwort, lesser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Strawberry, barren</w:t>
            </w:r>
          </w:p>
        </w:tc>
      </w:tr>
      <w:tr w:rsidR="00AF4807" w:rsidRPr="00AF4807" w:rsidTr="00F465E2">
        <w:trPr>
          <w:trHeight w:val="300"/>
        </w:trPr>
        <w:tc>
          <w:tcPr>
            <w:tcW w:w="1149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F4807" w:rsidRPr="00F465E2" w:rsidRDefault="00AF4807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Tutsan</w:t>
            </w:r>
            <w:proofErr w:type="spellEnd"/>
          </w:p>
        </w:tc>
      </w:tr>
    </w:tbl>
    <w:p w:rsidR="00A84AEB" w:rsidRPr="00A84AEB" w:rsidRDefault="00A84AEB" w:rsidP="00A84AEB">
      <w:pPr>
        <w:spacing w:after="0"/>
        <w:rPr>
          <w:vanish/>
        </w:rPr>
      </w:pPr>
    </w:p>
    <w:tbl>
      <w:tblPr>
        <w:tblW w:w="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410"/>
      </w:tblGrid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Group</w:t>
            </w:r>
          </w:p>
        </w:tc>
        <w:tc>
          <w:tcPr>
            <w:tcW w:w="2410" w:type="dxa"/>
            <w:shd w:val="clear" w:color="auto" w:fill="auto"/>
            <w:noWrap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Plant name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Vetch, common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Wavy </w:t>
            </w: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bittercress</w:t>
            </w:r>
            <w:proofErr w:type="spellEnd"/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Wild strawberry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Willowherb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, rosebay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Wood </w:t>
            </w: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avens</w:t>
            </w:r>
            <w:proofErr w:type="spellEnd"/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Flowers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Wood sage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Ferns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Buckler-fern, broad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Ferns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Male fern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Ash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Crab Apple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Deodar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Holly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Laburnum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Laurel, Cherry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Lilac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Oak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Ornamental</w:t>
            </w:r>
            <w:r w:rsidR="00A84AEB"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cherry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Rowan</w:t>
            </w:r>
          </w:p>
        </w:tc>
      </w:tr>
      <w:tr w:rsidR="00A84AEB" w:rsidRPr="00AF4807" w:rsidTr="00F465E2">
        <w:trPr>
          <w:trHeight w:val="300"/>
        </w:trPr>
        <w:tc>
          <w:tcPr>
            <w:tcW w:w="200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Trees and Shrubs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Yew</w:t>
            </w:r>
          </w:p>
        </w:tc>
      </w:tr>
    </w:tbl>
    <w:p w:rsidR="00AF4807" w:rsidRPr="00AF4807" w:rsidRDefault="00AF4807" w:rsidP="00AF4807">
      <w:pPr>
        <w:rPr>
          <w:sz w:val="22"/>
          <w:szCs w:val="22"/>
        </w:rPr>
      </w:pPr>
    </w:p>
    <w:p w:rsidR="00AF4807" w:rsidRDefault="00AF4807" w:rsidP="00AF4807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 w:cs="Arial"/>
          <w:sz w:val="22"/>
          <w:szCs w:val="22"/>
        </w:rPr>
      </w:pPr>
      <w:r w:rsidRPr="00AF4807">
        <w:rPr>
          <w:sz w:val="22"/>
          <w:szCs w:val="22"/>
        </w:rPr>
        <w:br w:type="page"/>
      </w:r>
      <w:r>
        <w:rPr>
          <w:rFonts w:ascii="Georgia" w:hAnsi="Georgia"/>
          <w:sz w:val="22"/>
          <w:szCs w:val="22"/>
        </w:rPr>
        <w:lastRenderedPageBreak/>
        <w:t>Animals</w:t>
      </w:r>
      <w:r w:rsidRPr="00594D89">
        <w:rPr>
          <w:rFonts w:ascii="Georgia" w:hAnsi="Georgia"/>
          <w:sz w:val="22"/>
          <w:szCs w:val="22"/>
        </w:rPr>
        <w:t xml:space="preserve"> recorded 2014</w:t>
      </w:r>
      <w:r w:rsidRPr="00594D89">
        <w:rPr>
          <w:rFonts w:ascii="Georgia" w:hAnsi="Georgia" w:cs="Arial"/>
          <w:sz w:val="22"/>
          <w:szCs w:val="22"/>
        </w:rPr>
        <w:t xml:space="preserve"> (English names used where possible)</w:t>
      </w:r>
    </w:p>
    <w:p w:rsidR="00A84AEB" w:rsidRPr="00594D89" w:rsidRDefault="00A84AEB" w:rsidP="00AF4807">
      <w:pPr>
        <w:widowControl/>
        <w:overflowPunct/>
        <w:autoSpaceDE/>
        <w:autoSpaceDN/>
        <w:adjustRightInd/>
        <w:spacing w:after="0" w:line="240" w:lineRule="auto"/>
        <w:rPr>
          <w:rFonts w:ascii="Georgia" w:hAnsi="Georgia"/>
          <w:sz w:val="22"/>
          <w:szCs w:val="22"/>
        </w:rPr>
      </w:pP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969"/>
      </w:tblGrid>
      <w:tr w:rsidR="00F465E2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</w:tcPr>
          <w:p w:rsidR="00F465E2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Group</w:t>
            </w:r>
          </w:p>
        </w:tc>
        <w:tc>
          <w:tcPr>
            <w:tcW w:w="3969" w:type="dxa"/>
            <w:shd w:val="clear" w:color="auto" w:fill="auto"/>
            <w:noWrap/>
          </w:tcPr>
          <w:p w:rsidR="00F465E2" w:rsidRPr="00F465E2" w:rsidRDefault="00F465E2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b/>
                <w:kern w:val="0"/>
                <w:sz w:val="22"/>
                <w:szCs w:val="22"/>
                <w:lang w:eastAsia="en-US"/>
              </w:rPr>
              <w:t>Animal name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Blackbird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Blue tit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Carrion crow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Chaffinch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Collared Dove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Goldfinch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Great tit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Robin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Stock Dove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Wood </w:t>
            </w:r>
            <w:r w:rsidR="00F465E2"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pigeon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Bird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Wren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Mammal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mouse/vole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Reptile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Slowworm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Coleoptera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(Beetles)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ladybird, 7-spot 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Coleoptera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(Beetles)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</w:pPr>
            <w:r w:rsidRPr="00F465E2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>soldier beetle</w:t>
            </w:r>
            <w:r w:rsidRPr="00F465E2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 xml:space="preserve">, Cantharis </w:t>
            </w:r>
            <w:proofErr w:type="spellStart"/>
            <w:r w:rsidRPr="00F465E2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cryptica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Coleoptera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(Beetles)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</w:pPr>
            <w:r w:rsidRPr="00F465E2">
              <w:rPr>
                <w:rFonts w:ascii="Arial" w:eastAsia="Calibri" w:hAnsi="Arial" w:cs="Arial"/>
                <w:color w:val="auto"/>
                <w:kern w:val="0"/>
                <w:lang w:eastAsia="en-US"/>
              </w:rPr>
              <w:t xml:space="preserve">soldier beetle, </w:t>
            </w:r>
            <w:r w:rsidRPr="00F465E2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 xml:space="preserve">Cantharis </w:t>
            </w:r>
            <w:proofErr w:type="spellStart"/>
            <w:r w:rsidRPr="00F465E2">
              <w:rPr>
                <w:rFonts w:ascii="Arial" w:eastAsia="Calibri" w:hAnsi="Arial" w:cs="Arial"/>
                <w:i/>
                <w:iCs/>
                <w:color w:val="auto"/>
                <w:kern w:val="0"/>
                <w:lang w:eastAsia="en-US"/>
              </w:rPr>
              <w:t>obscura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Hemiptera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 (bugs)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Shieldbug, green 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Hymenoptera (Ants, bees and wasps)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mason bee,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Osmia</w:t>
            </w:r>
            <w:proofErr w:type="spellEnd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laeiania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Hymenoptera (Ants, bees and wasps)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ant,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Myrmica</w:t>
            </w:r>
            <w:proofErr w:type="spellEnd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rubra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Hymenoptera (Ants, bees and wasps)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bumblebee, buff-tailed 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Hymenoptera (Ants, bees and wasps)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Honey Bee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Hymenoptera (Ants, bees and wasps)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mason bee,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Osmia</w:t>
            </w:r>
            <w:proofErr w:type="spellEnd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bicornis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Hymenoptera (Ants, bees and wasps)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bumblebee, white-tailed 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micromoth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, </w:t>
            </w:r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 xml:space="preserve">Adela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reamuealla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moth, brown silver-lines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moth, common carpet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moth, common marbled carpet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butterfly, green hairstreak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butterfly, large white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butterfly, orange tip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Lepidoptera (Butterflies and moths)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moth, speckled yellow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Snail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snail,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Cepaea</w:t>
            </w:r>
            <w:proofErr w:type="spellEnd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65E2">
              <w:rPr>
                <w:rFonts w:eastAsia="Calibri" w:cs="Times New Roman"/>
                <w:i/>
                <w:iCs/>
                <w:kern w:val="0"/>
                <w:sz w:val="22"/>
                <w:szCs w:val="22"/>
                <w:lang w:eastAsia="en-US"/>
              </w:rPr>
              <w:t>nemoralis</w:t>
            </w:r>
            <w:proofErr w:type="spellEnd"/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Snail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snail, common garden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Snail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snail, glass (probably more than one </w:t>
            </w:r>
            <w:proofErr w:type="spellStart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sp</w:t>
            </w:r>
            <w:proofErr w:type="spellEnd"/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)</w:t>
            </w:r>
          </w:p>
        </w:tc>
      </w:tr>
      <w:tr w:rsidR="00A84AEB" w:rsidRPr="00A84AEB" w:rsidTr="00F465E2">
        <w:trPr>
          <w:trHeight w:val="300"/>
        </w:trPr>
        <w:tc>
          <w:tcPr>
            <w:tcW w:w="3843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Snail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84AEB" w:rsidRPr="00F465E2" w:rsidRDefault="00A84AEB" w:rsidP="00F465E2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F465E2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snail, white lipped garden</w:t>
            </w:r>
          </w:p>
        </w:tc>
      </w:tr>
    </w:tbl>
    <w:p w:rsidR="0028289A" w:rsidRDefault="0028289A" w:rsidP="00680806"/>
    <w:sectPr w:rsidR="0028289A" w:rsidSect="0068080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400"/>
    <w:multiLevelType w:val="hybridMultilevel"/>
    <w:tmpl w:val="5600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06"/>
    <w:rsid w:val="00057ACC"/>
    <w:rsid w:val="000902BA"/>
    <w:rsid w:val="000E0966"/>
    <w:rsid w:val="00184272"/>
    <w:rsid w:val="001C78A9"/>
    <w:rsid w:val="00244124"/>
    <w:rsid w:val="00276C17"/>
    <w:rsid w:val="0028289A"/>
    <w:rsid w:val="003544A6"/>
    <w:rsid w:val="0041487A"/>
    <w:rsid w:val="005A494F"/>
    <w:rsid w:val="005C0514"/>
    <w:rsid w:val="00660600"/>
    <w:rsid w:val="0067134B"/>
    <w:rsid w:val="00680806"/>
    <w:rsid w:val="00706A49"/>
    <w:rsid w:val="00734121"/>
    <w:rsid w:val="0073422E"/>
    <w:rsid w:val="0076123F"/>
    <w:rsid w:val="00767190"/>
    <w:rsid w:val="007F5D4A"/>
    <w:rsid w:val="00914045"/>
    <w:rsid w:val="00981885"/>
    <w:rsid w:val="00A229E8"/>
    <w:rsid w:val="00A74329"/>
    <w:rsid w:val="00A84AEB"/>
    <w:rsid w:val="00AF4807"/>
    <w:rsid w:val="00B80E0B"/>
    <w:rsid w:val="00C8681D"/>
    <w:rsid w:val="00DB3B39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229E8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81D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Caroline</cp:lastModifiedBy>
  <cp:revision>19</cp:revision>
  <dcterms:created xsi:type="dcterms:W3CDTF">2014-10-25T13:27:00Z</dcterms:created>
  <dcterms:modified xsi:type="dcterms:W3CDTF">2014-11-14T12:40:00Z</dcterms:modified>
</cp:coreProperties>
</file>